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54D" w14:textId="64D1EBF1" w:rsidR="00894FBC" w:rsidRPr="006766F5" w:rsidRDefault="006766F5" w:rsidP="00894FBC">
      <w:pPr>
        <w:pStyle w:val="NoSpacing"/>
        <w:rPr>
          <w:sz w:val="24"/>
          <w:szCs w:val="24"/>
        </w:rPr>
      </w:pPr>
      <w:r w:rsidRPr="006766F5">
        <w:rPr>
          <w:sz w:val="24"/>
          <w:szCs w:val="24"/>
        </w:rPr>
        <w:t xml:space="preserve">Asbury Villas Property Insurance Coverage </w:t>
      </w:r>
      <w:r w:rsidR="00E57143">
        <w:rPr>
          <w:sz w:val="24"/>
          <w:szCs w:val="24"/>
        </w:rPr>
        <w:t>2023-</w:t>
      </w:r>
      <w:r w:rsidRPr="006766F5">
        <w:rPr>
          <w:sz w:val="24"/>
          <w:szCs w:val="24"/>
        </w:rPr>
        <w:t>202</w:t>
      </w:r>
      <w:r w:rsidR="00E57143">
        <w:rPr>
          <w:sz w:val="24"/>
          <w:szCs w:val="24"/>
        </w:rPr>
        <w:t>4</w:t>
      </w:r>
    </w:p>
    <w:p w14:paraId="428C6C58" w14:textId="77777777" w:rsidR="00894FBC" w:rsidRPr="006766F5" w:rsidRDefault="00894FBC" w:rsidP="00894FBC">
      <w:pPr>
        <w:pStyle w:val="NoSpacing"/>
        <w:rPr>
          <w:sz w:val="24"/>
          <w:szCs w:val="24"/>
        </w:rPr>
      </w:pPr>
    </w:p>
    <w:p w14:paraId="0DCDD06E" w14:textId="4CDC65E4" w:rsidR="00E10CDD" w:rsidRPr="006766F5" w:rsidRDefault="00894FBC" w:rsidP="00894FBC">
      <w:pPr>
        <w:pStyle w:val="NoSpacing"/>
        <w:rPr>
          <w:sz w:val="24"/>
          <w:szCs w:val="24"/>
        </w:rPr>
      </w:pPr>
      <w:r w:rsidRPr="006766F5">
        <w:rPr>
          <w:sz w:val="24"/>
          <w:szCs w:val="24"/>
        </w:rPr>
        <w:t>The Association pays for insurance</w:t>
      </w:r>
      <w:r w:rsidR="00E10CDD" w:rsidRPr="006766F5">
        <w:rPr>
          <w:sz w:val="24"/>
          <w:szCs w:val="24"/>
        </w:rPr>
        <w:t xml:space="preserve"> defined in the Declaration as single-entity insurance.  That means </w:t>
      </w:r>
      <w:r w:rsidR="006766F5">
        <w:rPr>
          <w:sz w:val="24"/>
          <w:szCs w:val="24"/>
        </w:rPr>
        <w:t xml:space="preserve">it covers the building </w:t>
      </w:r>
      <w:r w:rsidR="00562444">
        <w:rPr>
          <w:sz w:val="24"/>
          <w:szCs w:val="24"/>
        </w:rPr>
        <w:t xml:space="preserve">and the permanently attached fixtures </w:t>
      </w:r>
      <w:r w:rsidR="00E10CDD" w:rsidRPr="006766F5">
        <w:rPr>
          <w:sz w:val="24"/>
          <w:szCs w:val="24"/>
        </w:rPr>
        <w:t>back to the original design and finish-out of each unit</w:t>
      </w:r>
      <w:r w:rsidR="00562444">
        <w:rPr>
          <w:sz w:val="24"/>
          <w:szCs w:val="24"/>
        </w:rPr>
        <w:t xml:space="preserve"> / home</w:t>
      </w:r>
      <w:r w:rsidR="00E10CDD" w:rsidRPr="006766F5">
        <w:rPr>
          <w:sz w:val="24"/>
          <w:szCs w:val="24"/>
        </w:rPr>
        <w:t xml:space="preserve"> at the time the developer finished the unit and sold it for the first time</w:t>
      </w:r>
      <w:r w:rsidR="00C7134E">
        <w:rPr>
          <w:sz w:val="24"/>
          <w:szCs w:val="24"/>
        </w:rPr>
        <w:t xml:space="preserve"> (covered to the original conveyance)</w:t>
      </w:r>
      <w:r w:rsidR="00E10CDD" w:rsidRPr="006766F5">
        <w:rPr>
          <w:sz w:val="24"/>
          <w:szCs w:val="24"/>
        </w:rPr>
        <w:t>.</w:t>
      </w:r>
      <w:r w:rsidRPr="006766F5">
        <w:rPr>
          <w:sz w:val="24"/>
          <w:szCs w:val="24"/>
        </w:rPr>
        <w:t xml:space="preserve"> </w:t>
      </w:r>
    </w:p>
    <w:p w14:paraId="40E0141F" w14:textId="77777777" w:rsidR="00E10CDD" w:rsidRPr="006766F5" w:rsidRDefault="00E10CDD" w:rsidP="00894FBC">
      <w:pPr>
        <w:pStyle w:val="NoSpacing"/>
        <w:rPr>
          <w:sz w:val="24"/>
          <w:szCs w:val="24"/>
        </w:rPr>
      </w:pPr>
    </w:p>
    <w:p w14:paraId="20254D14" w14:textId="53BECAF7" w:rsidR="00894FBC" w:rsidRDefault="00E10CDD" w:rsidP="00894FBC">
      <w:pPr>
        <w:pStyle w:val="NoSpacing"/>
        <w:rPr>
          <w:sz w:val="24"/>
          <w:szCs w:val="24"/>
        </w:rPr>
      </w:pPr>
      <w:r w:rsidRPr="006766F5">
        <w:rPr>
          <w:sz w:val="24"/>
          <w:szCs w:val="24"/>
        </w:rPr>
        <w:t>I</w:t>
      </w:r>
      <w:r w:rsidR="00894FBC" w:rsidRPr="006766F5">
        <w:rPr>
          <w:sz w:val="24"/>
          <w:szCs w:val="24"/>
        </w:rPr>
        <w:t xml:space="preserve">n a loss, the HOA insurance policy would cover </w:t>
      </w:r>
      <w:r w:rsidR="00F675E0" w:rsidRPr="006766F5">
        <w:rPr>
          <w:sz w:val="24"/>
          <w:szCs w:val="24"/>
        </w:rPr>
        <w:t>th</w:t>
      </w:r>
      <w:r w:rsidR="00894FBC" w:rsidRPr="006766F5">
        <w:rPr>
          <w:sz w:val="24"/>
          <w:szCs w:val="24"/>
        </w:rPr>
        <w:t xml:space="preserve">e exterior walls, roof, materials in between the walls and the sub floor.  It also covers permanent and semi-permanent items inside the homes such as, carpet, paint, toilet fixtures, </w:t>
      </w:r>
      <w:r w:rsidR="00C7134E" w:rsidRPr="006766F5">
        <w:rPr>
          <w:sz w:val="24"/>
          <w:szCs w:val="24"/>
        </w:rPr>
        <w:t>c</w:t>
      </w:r>
      <w:r w:rsidR="00C7134E">
        <w:rPr>
          <w:sz w:val="24"/>
          <w:szCs w:val="24"/>
        </w:rPr>
        <w:t>abinets,</w:t>
      </w:r>
      <w:r w:rsidR="00894FBC" w:rsidRPr="006766F5">
        <w:rPr>
          <w:sz w:val="24"/>
          <w:szCs w:val="24"/>
        </w:rPr>
        <w:t xml:space="preserve"> and countertops.  The policy does not cover items that are not attached to the home such as a refrigerator, television, stove, furniture, or wall </w:t>
      </w:r>
      <w:r w:rsidR="00F675E0" w:rsidRPr="006766F5">
        <w:rPr>
          <w:sz w:val="24"/>
          <w:szCs w:val="24"/>
        </w:rPr>
        <w:t>hanging</w:t>
      </w:r>
      <w:r w:rsidR="00894FBC" w:rsidRPr="006766F5">
        <w:rPr>
          <w:sz w:val="24"/>
          <w:szCs w:val="24"/>
        </w:rPr>
        <w:t xml:space="preserve">.  </w:t>
      </w:r>
      <w:r w:rsidR="00C7134E">
        <w:rPr>
          <w:sz w:val="24"/>
          <w:szCs w:val="24"/>
        </w:rPr>
        <w:t>The Association does not pay for any upgrade</w:t>
      </w:r>
      <w:r w:rsidR="00E27A50">
        <w:rPr>
          <w:sz w:val="24"/>
          <w:szCs w:val="24"/>
        </w:rPr>
        <w:t>s made after the original conveyance, for example if you upgraded flooring or countertops.</w:t>
      </w:r>
      <w:r w:rsidR="00C7134E">
        <w:rPr>
          <w:sz w:val="24"/>
          <w:szCs w:val="24"/>
        </w:rPr>
        <w:t xml:space="preserve"> </w:t>
      </w:r>
      <w:r w:rsidR="00894FBC" w:rsidRPr="006766F5">
        <w:rPr>
          <w:sz w:val="24"/>
          <w:szCs w:val="24"/>
        </w:rPr>
        <w:t xml:space="preserve">To cover these items and to protect your personal belongings as well, you </w:t>
      </w:r>
      <w:r w:rsidR="00562444">
        <w:rPr>
          <w:sz w:val="24"/>
          <w:szCs w:val="24"/>
        </w:rPr>
        <w:t xml:space="preserve">will </w:t>
      </w:r>
      <w:r w:rsidR="00894FBC" w:rsidRPr="006766F5">
        <w:rPr>
          <w:sz w:val="24"/>
          <w:szCs w:val="24"/>
        </w:rPr>
        <w:t xml:space="preserve">need to purchase </w:t>
      </w:r>
      <w:r w:rsidR="00F675E0" w:rsidRPr="006766F5">
        <w:rPr>
          <w:sz w:val="24"/>
          <w:szCs w:val="24"/>
        </w:rPr>
        <w:t>a</w:t>
      </w:r>
      <w:r w:rsidR="00894FBC" w:rsidRPr="006766F5">
        <w:rPr>
          <w:sz w:val="24"/>
          <w:szCs w:val="24"/>
        </w:rPr>
        <w:t xml:space="preserve"> HO-6 policy</w:t>
      </w:r>
      <w:r w:rsidR="00E27A50">
        <w:rPr>
          <w:sz w:val="24"/>
          <w:szCs w:val="24"/>
        </w:rPr>
        <w:t xml:space="preserve"> and add property coverage</w:t>
      </w:r>
      <w:r w:rsidR="00894FBC" w:rsidRPr="006766F5">
        <w:rPr>
          <w:sz w:val="24"/>
          <w:szCs w:val="24"/>
        </w:rPr>
        <w:t>.</w:t>
      </w:r>
    </w:p>
    <w:p w14:paraId="597D5227" w14:textId="5E8D3BBC" w:rsidR="00DA4B7F" w:rsidRDefault="00DA4B7F" w:rsidP="00894FBC">
      <w:pPr>
        <w:pStyle w:val="NoSpacing"/>
        <w:rPr>
          <w:sz w:val="24"/>
          <w:szCs w:val="24"/>
        </w:rPr>
      </w:pPr>
    </w:p>
    <w:p w14:paraId="32CF45A4" w14:textId="77777777" w:rsidR="00DA4B7F" w:rsidRDefault="00DA4B7F" w:rsidP="00DA4B7F">
      <w:pPr>
        <w:pStyle w:val="NoSpacing"/>
        <w:rPr>
          <w:u w:val="single"/>
        </w:rPr>
      </w:pPr>
      <w:r>
        <w:rPr>
          <w:u w:val="single"/>
        </w:rPr>
        <w:t>Typical coverage parts of an H0-6 policy (all condo owners need a H0-6 policy or like coverages)</w:t>
      </w:r>
    </w:p>
    <w:p w14:paraId="54AF7221" w14:textId="77777777" w:rsidR="00DA4B7F" w:rsidRDefault="00DA4B7F" w:rsidP="00DA4B7F">
      <w:pPr>
        <w:pStyle w:val="NoSpacing"/>
      </w:pPr>
      <w:r>
        <w:sym w:font="Symbol" w:char="F0B7"/>
      </w:r>
      <w:r>
        <w:t xml:space="preserve"> Coverage A - Dwelling: (improvements you made from original finish of your condo)</w:t>
      </w:r>
    </w:p>
    <w:p w14:paraId="69BA35C0" w14:textId="42D68EDA" w:rsidR="00DA4B7F" w:rsidRDefault="00DA4B7F" w:rsidP="00DA4B7F">
      <w:pPr>
        <w:pStyle w:val="NoSpacing"/>
      </w:pPr>
      <w:r>
        <w:sym w:font="Symbol" w:char="F0B7"/>
      </w:r>
      <w:r>
        <w:t xml:space="preserve"> Coverage B - Other Structures: (</w:t>
      </w:r>
      <w:r>
        <w:t xml:space="preserve">for example you </w:t>
      </w:r>
      <w:r>
        <w:t xml:space="preserve">added a </w:t>
      </w:r>
      <w:r>
        <w:t xml:space="preserve">deck, patio and or a </w:t>
      </w:r>
      <w:r>
        <w:t>fence)</w:t>
      </w:r>
    </w:p>
    <w:p w14:paraId="27ACF7D2" w14:textId="3D6743E0" w:rsidR="00DA4B7F" w:rsidRDefault="00DA4B7F" w:rsidP="00DA4B7F">
      <w:pPr>
        <w:pStyle w:val="NoSpacing"/>
      </w:pPr>
      <w:r>
        <w:sym w:font="Symbol" w:char="F0B7"/>
      </w:r>
      <w:r>
        <w:t xml:space="preserve"> Coverage C - Personal Property: </w:t>
      </w:r>
      <w:r>
        <w:t xml:space="preserve">(for example your personal belongings, furniture, and clothes) </w:t>
      </w:r>
    </w:p>
    <w:p w14:paraId="31ABEA70" w14:textId="014FC19A" w:rsidR="00DA4B7F" w:rsidRDefault="00DA4B7F" w:rsidP="00DA4B7F">
      <w:pPr>
        <w:pStyle w:val="NoSpacing"/>
      </w:pPr>
      <w:r>
        <w:sym w:font="Symbol" w:char="F0B7"/>
      </w:r>
      <w:r>
        <w:t xml:space="preserve"> Coverage D - Loss of Use: </w:t>
      </w:r>
      <w:r>
        <w:t>(would pay for temporary housing if displaced by a covered peril)</w:t>
      </w:r>
    </w:p>
    <w:p w14:paraId="2B4D988A" w14:textId="77777777" w:rsidR="00DA4B7F" w:rsidRDefault="00DA4B7F" w:rsidP="00DA4B7F">
      <w:pPr>
        <w:pStyle w:val="NoSpacing"/>
      </w:pPr>
      <w:r>
        <w:sym w:font="Symbol" w:char="F0B7"/>
      </w:r>
      <w:r>
        <w:t xml:space="preserve"> Liability: Minimum of $100,000. </w:t>
      </w:r>
    </w:p>
    <w:p w14:paraId="5AE1B568" w14:textId="77777777" w:rsidR="00DA4B7F" w:rsidRDefault="00DA4B7F" w:rsidP="00DA4B7F">
      <w:pPr>
        <w:pStyle w:val="NoSpacing"/>
      </w:pPr>
      <w:r>
        <w:sym w:font="Symbol" w:char="F0B7"/>
      </w:r>
      <w:r>
        <w:t xml:space="preserve"> Medical Payments: Minimum of $1,000.</w:t>
      </w:r>
    </w:p>
    <w:p w14:paraId="6D7E40CA" w14:textId="1F887CD2" w:rsidR="00894FBC" w:rsidRPr="006766F5" w:rsidRDefault="00894FBC" w:rsidP="00894FBC">
      <w:pPr>
        <w:pStyle w:val="NoSpacing"/>
        <w:rPr>
          <w:sz w:val="24"/>
          <w:szCs w:val="24"/>
        </w:rPr>
      </w:pPr>
    </w:p>
    <w:p w14:paraId="52294C72" w14:textId="045A8703" w:rsidR="00894FBC" w:rsidRPr="006766F5" w:rsidRDefault="00894FBC" w:rsidP="00894FBC">
      <w:pPr>
        <w:pStyle w:val="NoSpacing"/>
        <w:rPr>
          <w:sz w:val="24"/>
          <w:szCs w:val="24"/>
        </w:rPr>
      </w:pPr>
      <w:r w:rsidRPr="006766F5">
        <w:rPr>
          <w:sz w:val="24"/>
          <w:szCs w:val="24"/>
        </w:rPr>
        <w:t xml:space="preserve">In having your own HO-6 policy, you should ask your agent about broadening your coverages.  We recommend adding </w:t>
      </w:r>
      <w:r w:rsidRPr="006766F5">
        <w:rPr>
          <w:b/>
          <w:bCs/>
          <w:sz w:val="24"/>
          <w:szCs w:val="24"/>
        </w:rPr>
        <w:t>“loss assessment coverage”</w:t>
      </w:r>
      <w:r w:rsidRPr="006766F5">
        <w:rPr>
          <w:sz w:val="24"/>
          <w:szCs w:val="24"/>
        </w:rPr>
        <w:t xml:space="preserve"> which is sometimes called “deductible assessment coverage”.</w:t>
      </w:r>
    </w:p>
    <w:p w14:paraId="1FFA298D" w14:textId="5B18C72F" w:rsidR="00894FBC" w:rsidRPr="006766F5" w:rsidRDefault="00894FBC" w:rsidP="00894FBC">
      <w:pPr>
        <w:pStyle w:val="NoSpacing"/>
        <w:rPr>
          <w:sz w:val="24"/>
          <w:szCs w:val="24"/>
        </w:rPr>
      </w:pPr>
    </w:p>
    <w:p w14:paraId="609E426B" w14:textId="566D3B5B" w:rsidR="00894FBC" w:rsidRPr="006766F5" w:rsidRDefault="00894FBC" w:rsidP="00894FBC">
      <w:pPr>
        <w:pStyle w:val="NoSpacing"/>
        <w:rPr>
          <w:sz w:val="24"/>
          <w:szCs w:val="24"/>
        </w:rPr>
      </w:pPr>
      <w:r w:rsidRPr="006766F5">
        <w:rPr>
          <w:sz w:val="24"/>
          <w:szCs w:val="24"/>
        </w:rPr>
        <w:t>The HOA</w:t>
      </w:r>
      <w:r w:rsidR="00B67371">
        <w:rPr>
          <w:sz w:val="24"/>
          <w:szCs w:val="24"/>
        </w:rPr>
        <w:t>’s</w:t>
      </w:r>
      <w:r w:rsidRPr="006766F5">
        <w:rPr>
          <w:sz w:val="24"/>
          <w:szCs w:val="24"/>
        </w:rPr>
        <w:t xml:space="preserve"> </w:t>
      </w:r>
      <w:r w:rsidR="00B67371">
        <w:rPr>
          <w:sz w:val="24"/>
          <w:szCs w:val="24"/>
        </w:rPr>
        <w:t xml:space="preserve">insurance policy </w:t>
      </w:r>
      <w:r w:rsidRPr="006766F5">
        <w:rPr>
          <w:sz w:val="24"/>
          <w:szCs w:val="24"/>
        </w:rPr>
        <w:t>has a $</w:t>
      </w:r>
      <w:r w:rsidR="006766F5" w:rsidRPr="006766F5">
        <w:rPr>
          <w:sz w:val="24"/>
          <w:szCs w:val="24"/>
        </w:rPr>
        <w:t>25</w:t>
      </w:r>
      <w:r w:rsidRPr="006766F5">
        <w:rPr>
          <w:sz w:val="24"/>
          <w:szCs w:val="24"/>
        </w:rPr>
        <w:t xml:space="preserve">,000 per occurrence deductible for all perils except for wind and hail which has a </w:t>
      </w:r>
      <w:r w:rsidR="00DA4B7F">
        <w:rPr>
          <w:sz w:val="24"/>
          <w:szCs w:val="24"/>
        </w:rPr>
        <w:t>5</w:t>
      </w:r>
      <w:r w:rsidR="006766F5" w:rsidRPr="006766F5">
        <w:rPr>
          <w:sz w:val="24"/>
          <w:szCs w:val="24"/>
        </w:rPr>
        <w:t xml:space="preserve">% </w:t>
      </w:r>
      <w:r w:rsidRPr="006766F5">
        <w:rPr>
          <w:sz w:val="24"/>
          <w:szCs w:val="24"/>
        </w:rPr>
        <w:t>deductible</w:t>
      </w:r>
      <w:r w:rsidR="006766F5" w:rsidRPr="006766F5">
        <w:rPr>
          <w:sz w:val="24"/>
          <w:szCs w:val="24"/>
        </w:rPr>
        <w:t xml:space="preserve"> (</w:t>
      </w:r>
      <w:r w:rsidR="00DA4B7F">
        <w:rPr>
          <w:sz w:val="24"/>
          <w:szCs w:val="24"/>
        </w:rPr>
        <w:t>5</w:t>
      </w:r>
      <w:r w:rsidR="006766F5" w:rsidRPr="006766F5">
        <w:rPr>
          <w:sz w:val="24"/>
          <w:szCs w:val="24"/>
        </w:rPr>
        <w:t>% of your buildings value, for example a building valued at $</w:t>
      </w:r>
      <w:r w:rsidR="00DA4B7F">
        <w:rPr>
          <w:sz w:val="24"/>
          <w:szCs w:val="24"/>
        </w:rPr>
        <w:t>7</w:t>
      </w:r>
      <w:r w:rsidR="006766F5" w:rsidRPr="006766F5">
        <w:rPr>
          <w:sz w:val="24"/>
          <w:szCs w:val="24"/>
        </w:rPr>
        <w:t>00,000 would have a $</w:t>
      </w:r>
      <w:r w:rsidR="00DA4B7F">
        <w:rPr>
          <w:sz w:val="24"/>
          <w:szCs w:val="24"/>
        </w:rPr>
        <w:t>35</w:t>
      </w:r>
      <w:r w:rsidR="006766F5" w:rsidRPr="006766F5">
        <w:rPr>
          <w:sz w:val="24"/>
          <w:szCs w:val="24"/>
        </w:rPr>
        <w:t>,000 wind / hail deductible</w:t>
      </w:r>
      <w:r w:rsidR="00DA4B7F">
        <w:rPr>
          <w:sz w:val="24"/>
          <w:szCs w:val="24"/>
        </w:rPr>
        <w:t xml:space="preserve"> divided by the 4 owners, each owing $8,750 in that example</w:t>
      </w:r>
      <w:r w:rsidR="006766F5" w:rsidRPr="006766F5">
        <w:rPr>
          <w:sz w:val="24"/>
          <w:szCs w:val="24"/>
        </w:rPr>
        <w:t>)</w:t>
      </w:r>
      <w:r w:rsidRPr="006766F5">
        <w:rPr>
          <w:sz w:val="24"/>
          <w:szCs w:val="24"/>
        </w:rPr>
        <w:t>.  Depending upon the situation, please realize that an owner could be responsible for the entire $</w:t>
      </w:r>
      <w:r w:rsidR="006766F5" w:rsidRPr="006766F5">
        <w:rPr>
          <w:sz w:val="24"/>
          <w:szCs w:val="24"/>
        </w:rPr>
        <w:t>25</w:t>
      </w:r>
      <w:r w:rsidRPr="006766F5">
        <w:rPr>
          <w:sz w:val="24"/>
          <w:szCs w:val="24"/>
        </w:rPr>
        <w:t>,000 deductible</w:t>
      </w:r>
      <w:r w:rsidR="00DA4B7F">
        <w:rPr>
          <w:sz w:val="24"/>
          <w:szCs w:val="24"/>
        </w:rPr>
        <w:t>, in the event your negligence caused the property damage</w:t>
      </w:r>
      <w:r w:rsidRPr="006766F5">
        <w:rPr>
          <w:sz w:val="24"/>
          <w:szCs w:val="24"/>
        </w:rPr>
        <w:t>.  If you have loss assessment coverage on your policy, you may be able to protect yourself for the portion of the deductible that you are assessed.</w:t>
      </w:r>
    </w:p>
    <w:p w14:paraId="61F0F7A2" w14:textId="7458E2BB" w:rsidR="00894FBC" w:rsidRPr="006766F5" w:rsidRDefault="00894FBC" w:rsidP="00894FBC">
      <w:pPr>
        <w:pStyle w:val="NoSpacing"/>
        <w:rPr>
          <w:sz w:val="24"/>
          <w:szCs w:val="24"/>
        </w:rPr>
      </w:pPr>
    </w:p>
    <w:p w14:paraId="10FF1AD2" w14:textId="6D9BB900" w:rsidR="00894FBC" w:rsidRDefault="00894FBC" w:rsidP="00894FBC">
      <w:pPr>
        <w:pStyle w:val="NoSpacing"/>
        <w:rPr>
          <w:sz w:val="24"/>
          <w:szCs w:val="24"/>
        </w:rPr>
      </w:pPr>
      <w:r w:rsidRPr="006766F5">
        <w:rPr>
          <w:sz w:val="24"/>
          <w:szCs w:val="24"/>
        </w:rPr>
        <w:t xml:space="preserve">Also, we recommend adding </w:t>
      </w:r>
      <w:r w:rsidRPr="006766F5">
        <w:rPr>
          <w:b/>
          <w:bCs/>
          <w:sz w:val="24"/>
          <w:szCs w:val="24"/>
        </w:rPr>
        <w:t xml:space="preserve">Coverage </w:t>
      </w:r>
      <w:r w:rsidR="006766F5" w:rsidRPr="006766F5">
        <w:rPr>
          <w:b/>
          <w:bCs/>
          <w:sz w:val="24"/>
          <w:szCs w:val="24"/>
        </w:rPr>
        <w:t>“</w:t>
      </w:r>
      <w:r w:rsidRPr="006766F5">
        <w:rPr>
          <w:b/>
          <w:bCs/>
          <w:sz w:val="24"/>
          <w:szCs w:val="24"/>
        </w:rPr>
        <w:t>A</w:t>
      </w:r>
      <w:r w:rsidR="006766F5" w:rsidRPr="00C7134E">
        <w:rPr>
          <w:sz w:val="24"/>
          <w:szCs w:val="24"/>
        </w:rPr>
        <w:t>”</w:t>
      </w:r>
      <w:r w:rsidR="00C7134E" w:rsidRPr="006766F5">
        <w:rPr>
          <w:b/>
          <w:bCs/>
          <w:sz w:val="24"/>
          <w:szCs w:val="24"/>
        </w:rPr>
        <w:t xml:space="preserve"> to your HO6 Policy</w:t>
      </w:r>
      <w:r w:rsidR="00C7134E" w:rsidRPr="006766F5">
        <w:rPr>
          <w:sz w:val="24"/>
          <w:szCs w:val="24"/>
        </w:rPr>
        <w:t xml:space="preserve"> of your policy</w:t>
      </w:r>
      <w:r w:rsidR="00C7134E" w:rsidRPr="00C7134E">
        <w:rPr>
          <w:sz w:val="24"/>
          <w:szCs w:val="24"/>
        </w:rPr>
        <w:t xml:space="preserve"> (Coverage A on an HO6 is</w:t>
      </w:r>
      <w:r w:rsidR="00C7134E">
        <w:rPr>
          <w:sz w:val="24"/>
          <w:szCs w:val="24"/>
        </w:rPr>
        <w:t xml:space="preserve"> the coverage limit that covers your</w:t>
      </w:r>
      <w:r w:rsidR="00C7134E" w:rsidRPr="00C7134E">
        <w:rPr>
          <w:sz w:val="24"/>
          <w:szCs w:val="24"/>
        </w:rPr>
        <w:t xml:space="preserve"> building and</w:t>
      </w:r>
      <w:r w:rsidR="00C7134E">
        <w:rPr>
          <w:b/>
          <w:bCs/>
          <w:sz w:val="24"/>
          <w:szCs w:val="24"/>
        </w:rPr>
        <w:t xml:space="preserve"> </w:t>
      </w:r>
      <w:r w:rsidR="00C7134E">
        <w:rPr>
          <w:sz w:val="24"/>
          <w:szCs w:val="24"/>
        </w:rPr>
        <w:t>permanently attached fixtures.</w:t>
      </w:r>
      <w:r w:rsidRPr="006766F5">
        <w:rPr>
          <w:sz w:val="24"/>
          <w:szCs w:val="24"/>
        </w:rPr>
        <w:t xml:space="preserve">  </w:t>
      </w:r>
      <w:r w:rsidR="00C7134E">
        <w:rPr>
          <w:sz w:val="24"/>
          <w:szCs w:val="24"/>
        </w:rPr>
        <w:t xml:space="preserve">At a minimum you should have $25,000 of coverage “A” and much higher limits if you have updated your home since it was originally </w:t>
      </w:r>
      <w:r w:rsidR="00DA4B7F">
        <w:rPr>
          <w:sz w:val="24"/>
          <w:szCs w:val="24"/>
        </w:rPr>
        <w:t>built, not how you purchased from the prior owner</w:t>
      </w:r>
      <w:r w:rsidR="00C7134E">
        <w:rPr>
          <w:sz w:val="24"/>
          <w:szCs w:val="24"/>
        </w:rPr>
        <w:t>.  C</w:t>
      </w:r>
      <w:r w:rsidRPr="006766F5">
        <w:rPr>
          <w:sz w:val="24"/>
          <w:szCs w:val="24"/>
        </w:rPr>
        <w:t>overage</w:t>
      </w:r>
      <w:r w:rsidR="00C7134E">
        <w:rPr>
          <w:sz w:val="24"/>
          <w:szCs w:val="24"/>
        </w:rPr>
        <w:t>s</w:t>
      </w:r>
      <w:r w:rsidRPr="006766F5">
        <w:rPr>
          <w:sz w:val="24"/>
          <w:szCs w:val="24"/>
        </w:rPr>
        <w:t xml:space="preserve"> should be discussed with your personal agent.</w:t>
      </w:r>
      <w:r w:rsidR="00C7134E">
        <w:rPr>
          <w:sz w:val="24"/>
          <w:szCs w:val="24"/>
        </w:rPr>
        <w:t xml:space="preserve">  </w:t>
      </w:r>
    </w:p>
    <w:p w14:paraId="1A4AD439" w14:textId="7E314F39" w:rsidR="00C7134E" w:rsidRDefault="00C7134E" w:rsidP="00894FBC">
      <w:pPr>
        <w:pStyle w:val="NoSpacing"/>
        <w:rPr>
          <w:sz w:val="24"/>
          <w:szCs w:val="24"/>
        </w:rPr>
      </w:pPr>
    </w:p>
    <w:tbl>
      <w:tblPr>
        <w:tblW w:w="0" w:type="auto"/>
        <w:tblCellSpacing w:w="15" w:type="dxa"/>
        <w:tblCellMar>
          <w:left w:w="150" w:type="dxa"/>
        </w:tblCellMar>
        <w:tblLook w:val="04A0" w:firstRow="1" w:lastRow="0" w:firstColumn="1" w:lastColumn="0" w:noHBand="0" w:noVBand="1"/>
      </w:tblPr>
      <w:tblGrid>
        <w:gridCol w:w="4325"/>
      </w:tblGrid>
      <w:tr w:rsidR="00C7134E" w14:paraId="223D432B" w14:textId="77777777" w:rsidTr="00C7134E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072"/>
            </w:tblGrid>
            <w:tr w:rsidR="00C7134E" w14:paraId="7FEA8DB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34449B" w14:textId="77777777" w:rsidR="00C7134E" w:rsidRDefault="00C7134E">
                  <w:pPr>
                    <w:spacing w:after="15"/>
                    <w:rPr>
                      <w:rFonts w:ascii="Segoe UI" w:eastAsiaTheme="minorEastAsia" w:hAnsi="Segoe UI" w:cs="Segoe UI"/>
                      <w:noProof/>
                      <w:color w:val="1E2859"/>
                    </w:rPr>
                  </w:pPr>
                  <w:r>
                    <w:rPr>
                      <w:rFonts w:ascii="Segoe UI" w:eastAsiaTheme="minorEastAsia" w:hAnsi="Segoe UI" w:cs="Segoe UI"/>
                      <w:b/>
                      <w:bCs/>
                      <w:noProof/>
                      <w:color w:val="1E2859"/>
                    </w:rPr>
                    <w:t xml:space="preserve">Matthew Schloegel, </w:t>
                  </w:r>
                  <w:r>
                    <w:rPr>
                      <w:rFonts w:ascii="Segoe UI" w:eastAsiaTheme="minorEastAsia" w:hAnsi="Segoe UI" w:cs="Segoe UI"/>
                      <w:b/>
                      <w:bCs/>
                      <w:noProof/>
                      <w:color w:val="1E2859"/>
                      <w:sz w:val="16"/>
                      <w:szCs w:val="16"/>
                    </w:rPr>
                    <w:t>CPCU, CIC, ARM</w:t>
                  </w:r>
                </w:p>
                <w:p w14:paraId="7838B45D" w14:textId="46D6AB08" w:rsidR="00C7134E" w:rsidRDefault="00E27A50">
                  <w:pPr>
                    <w:spacing w:after="15"/>
                    <w:rPr>
                      <w:rFonts w:ascii="Segoe UI" w:eastAsiaTheme="minorEastAsia" w:hAnsi="Segoe UI" w:cs="Segoe UI"/>
                      <w:i/>
                      <w:iCs/>
                      <w:noProof/>
                      <w:color w:val="1E2859"/>
                      <w:sz w:val="20"/>
                      <w:szCs w:val="20"/>
                    </w:rPr>
                  </w:pPr>
                  <w:r>
                    <w:rPr>
                      <w:rFonts w:ascii="Segoe UI" w:eastAsiaTheme="minorEastAsia" w:hAnsi="Segoe UI" w:cs="Segoe UI"/>
                      <w:i/>
                      <w:iCs/>
                      <w:noProof/>
                      <w:color w:val="1E2859"/>
                      <w:sz w:val="20"/>
                      <w:szCs w:val="20"/>
                    </w:rPr>
                    <w:t xml:space="preserve">Assured Partners </w:t>
                  </w:r>
                  <w:r w:rsidR="00C7134E">
                    <w:rPr>
                      <w:rFonts w:ascii="Segoe UI" w:eastAsiaTheme="minorEastAsia" w:hAnsi="Segoe UI" w:cs="Segoe UI"/>
                      <w:i/>
                      <w:iCs/>
                      <w:noProof/>
                      <w:color w:val="1E2859"/>
                      <w:sz w:val="20"/>
                      <w:szCs w:val="20"/>
                    </w:rPr>
                    <w:t>Agency President</w:t>
                  </w:r>
                </w:p>
                <w:p w14:paraId="326C4D9F" w14:textId="77777777" w:rsidR="00C7134E" w:rsidRDefault="00C7134E">
                  <w:pPr>
                    <w:spacing w:after="15"/>
                    <w:rPr>
                      <w:rFonts w:ascii="Segoe UI" w:eastAsiaTheme="minorEastAsia" w:hAnsi="Segoe UI" w:cs="Segoe UI"/>
                      <w:noProof/>
                      <w:color w:val="414042"/>
                      <w:sz w:val="18"/>
                      <w:szCs w:val="18"/>
                    </w:rPr>
                  </w:pPr>
                  <w:r>
                    <w:rPr>
                      <w:rFonts w:ascii="Segoe UI" w:eastAsiaTheme="minorEastAsia" w:hAnsi="Segoe UI" w:cs="Segoe UI"/>
                      <w:noProof/>
                      <w:color w:val="414042"/>
                      <w:sz w:val="18"/>
                      <w:szCs w:val="18"/>
                    </w:rPr>
                    <w:t>4435 Main Street 4th Floor Kansas City, MO 64111</w:t>
                  </w:r>
                </w:p>
              </w:tc>
            </w:tr>
          </w:tbl>
          <w:p w14:paraId="644BDE8D" w14:textId="77777777" w:rsidR="00C7134E" w:rsidRDefault="00C7134E">
            <w:pPr>
              <w:rPr>
                <w:rFonts w:ascii="Calibri" w:eastAsia="Times New Roman" w:hAnsi="Calibri" w:cs="Calibri"/>
                <w:noProof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21"/>
              <w:gridCol w:w="1310"/>
              <w:gridCol w:w="104"/>
              <w:gridCol w:w="183"/>
              <w:gridCol w:w="1325"/>
            </w:tblGrid>
            <w:tr w:rsidR="00C7134E" w14:paraId="7111A1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A5BA3D" w14:textId="77777777" w:rsidR="00C7134E" w:rsidRDefault="00C7134E">
                  <w:pPr>
                    <w:spacing w:after="15"/>
                    <w:rPr>
                      <w:rFonts w:ascii="Segoe UI" w:eastAsiaTheme="minorEastAsia" w:hAnsi="Segoe UI" w:cs="Segoe UI"/>
                      <w:noProof/>
                      <w:sz w:val="18"/>
                      <w:szCs w:val="18"/>
                    </w:rPr>
                  </w:pPr>
                  <w:r>
                    <w:rPr>
                      <w:rFonts w:ascii="Segoe UI" w:eastAsiaTheme="minorEastAsia" w:hAnsi="Segoe UI" w:cs="Segoe UI"/>
                      <w:noProof/>
                      <w:color w:val="414042"/>
                      <w:sz w:val="18"/>
                      <w:szCs w:val="18"/>
                    </w:rPr>
                    <w:t>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E68907" w14:textId="77777777" w:rsidR="00C7134E" w:rsidRDefault="00000000">
                  <w:pPr>
                    <w:spacing w:after="15"/>
                    <w:rPr>
                      <w:rFonts w:ascii="Segoe UI" w:eastAsiaTheme="minorEastAsia" w:hAnsi="Segoe UI" w:cs="Segoe UI"/>
                      <w:noProof/>
                      <w:sz w:val="18"/>
                      <w:szCs w:val="18"/>
                    </w:rPr>
                  </w:pPr>
                  <w:hyperlink r:id="rId4" w:history="1">
                    <w:r w:rsidR="00C7134E">
                      <w:rPr>
                        <w:rStyle w:val="Hyperlink"/>
                        <w:rFonts w:eastAsiaTheme="minorEastAsia"/>
                        <w:noProof/>
                        <w:color w:val="414042"/>
                      </w:rPr>
                      <w:t>913-359-8329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23CDB3" w14:textId="77777777" w:rsidR="00C7134E" w:rsidRDefault="00C7134E">
                  <w:pPr>
                    <w:spacing w:after="15"/>
                    <w:rPr>
                      <w:rFonts w:ascii="Segoe UI" w:eastAsiaTheme="minorEastAsia" w:hAnsi="Segoe UI" w:cs="Segoe UI"/>
                      <w:noProof/>
                      <w:sz w:val="18"/>
                      <w:szCs w:val="18"/>
                    </w:rPr>
                  </w:pPr>
                  <w:r>
                    <w:rPr>
                      <w:rFonts w:ascii="Segoe UI" w:eastAsiaTheme="minorEastAsia" w:hAnsi="Segoe UI" w:cs="Segoe UI"/>
                      <w:noProof/>
                      <w:color w:val="414042"/>
                      <w:sz w:val="18"/>
                      <w:szCs w:val="18"/>
                    </w:rPr>
                    <w:t>|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97250C" w14:textId="77777777" w:rsidR="00C7134E" w:rsidRDefault="00C7134E">
                  <w:pPr>
                    <w:spacing w:after="15"/>
                    <w:rPr>
                      <w:rFonts w:ascii="Segoe UI" w:eastAsiaTheme="minorEastAsia" w:hAnsi="Segoe UI" w:cs="Segoe UI"/>
                      <w:noProof/>
                      <w:sz w:val="18"/>
                      <w:szCs w:val="18"/>
                    </w:rPr>
                  </w:pPr>
                  <w:r>
                    <w:rPr>
                      <w:rFonts w:ascii="Segoe UI" w:eastAsiaTheme="minorEastAsia" w:hAnsi="Segoe UI" w:cs="Segoe UI"/>
                      <w:noProof/>
                      <w:color w:val="414042"/>
                      <w:sz w:val="18"/>
                      <w:szCs w:val="18"/>
                    </w:rPr>
                    <w:t>c: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74E8BF" w14:textId="77777777" w:rsidR="00C7134E" w:rsidRDefault="00000000">
                  <w:pPr>
                    <w:spacing w:after="15"/>
                    <w:rPr>
                      <w:rFonts w:ascii="Segoe UI" w:eastAsiaTheme="minorEastAsia" w:hAnsi="Segoe UI" w:cs="Segoe UI"/>
                      <w:noProof/>
                      <w:sz w:val="18"/>
                      <w:szCs w:val="18"/>
                    </w:rPr>
                  </w:pPr>
                  <w:hyperlink r:id="rId5" w:history="1">
                    <w:r w:rsidR="00C7134E">
                      <w:rPr>
                        <w:rStyle w:val="Hyperlink"/>
                        <w:rFonts w:eastAsiaTheme="minorEastAsia"/>
                        <w:noProof/>
                        <w:color w:val="414042"/>
                      </w:rPr>
                      <w:t>913-972-4210</w:t>
                    </w:r>
                  </w:hyperlink>
                </w:p>
              </w:tc>
            </w:tr>
          </w:tbl>
          <w:p w14:paraId="4C68F6B5" w14:textId="77777777" w:rsidR="00C7134E" w:rsidRDefault="00C7134E">
            <w:pPr>
              <w:rPr>
                <w:rFonts w:ascii="Calibri" w:eastAsia="Times New Roman" w:hAnsi="Calibri" w:cs="Calibri"/>
                <w:noProof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66"/>
              <w:gridCol w:w="81"/>
            </w:tblGrid>
            <w:tr w:rsidR="00C7134E" w14:paraId="1BAC85CB" w14:textId="77777777">
              <w:trPr>
                <w:tblCellSpacing w:w="15" w:type="dxa"/>
                <w:hidden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CD49F4" w14:textId="77777777" w:rsidR="00C7134E" w:rsidRDefault="00C7134E">
                  <w:pPr>
                    <w:rPr>
                      <w:rFonts w:ascii="Calibri" w:eastAsia="Times New Roman" w:hAnsi="Calibri" w:cs="Calibri"/>
                      <w:noProof/>
                      <w:vanish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9B0B6D" w14:textId="77777777" w:rsidR="00C7134E" w:rsidRDefault="00C713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12431E" w14:textId="77777777" w:rsidR="00C7134E" w:rsidRDefault="00C713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A5ACBD" w14:textId="77777777" w:rsidR="00C7134E" w:rsidRDefault="00C713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0BC81" w14:textId="77777777" w:rsidR="00C7134E" w:rsidRDefault="00C7134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9589FF" w14:textId="77777777" w:rsidR="00C7134E" w:rsidRDefault="00C7134E">
            <w:pPr>
              <w:rPr>
                <w:rFonts w:ascii="Calibri" w:eastAsia="Times New Roman" w:hAnsi="Calibri" w:cs="Calibri"/>
                <w:noProof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100"/>
            </w:tblGrid>
            <w:tr w:rsidR="00C7134E" w14:paraId="0929090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DBDFE4" w14:textId="12059144" w:rsidR="00C7134E" w:rsidRDefault="00000000">
                  <w:pPr>
                    <w:spacing w:before="150" w:after="15"/>
                    <w:rPr>
                      <w:rFonts w:ascii="Segoe UI" w:eastAsiaTheme="minorEastAsia" w:hAnsi="Segoe UI" w:cs="Segoe UI"/>
                      <w:noProof/>
                      <w:sz w:val="18"/>
                      <w:szCs w:val="18"/>
                    </w:rPr>
                  </w:pPr>
                  <w:hyperlink r:id="rId6" w:history="1">
                    <w:r w:rsidR="00C7134E">
                      <w:rPr>
                        <w:rStyle w:val="Hyperlink"/>
                        <w:rFonts w:eastAsiaTheme="minorEastAsia"/>
                        <w:noProof/>
                        <w:color w:val="414042"/>
                      </w:rPr>
                      <w:t>e: matthew.schloegel@assuredpartners.com</w:t>
                    </w:r>
                  </w:hyperlink>
                </w:p>
              </w:tc>
            </w:tr>
          </w:tbl>
          <w:p w14:paraId="064BBA78" w14:textId="77777777" w:rsidR="00C7134E" w:rsidRDefault="00C7134E"/>
        </w:tc>
      </w:tr>
    </w:tbl>
    <w:p w14:paraId="44B928DB" w14:textId="77777777" w:rsidR="00C7134E" w:rsidRDefault="00C7134E" w:rsidP="00894FBC">
      <w:pPr>
        <w:pStyle w:val="NoSpacing"/>
        <w:rPr>
          <w:sz w:val="24"/>
          <w:szCs w:val="24"/>
        </w:rPr>
      </w:pPr>
    </w:p>
    <w:p w14:paraId="2877946C" w14:textId="5E59C577" w:rsidR="00C7134E" w:rsidRPr="006766F5" w:rsidRDefault="00C7134E" w:rsidP="00894FBC">
      <w:pPr>
        <w:pStyle w:val="NoSpacing"/>
        <w:rPr>
          <w:sz w:val="24"/>
          <w:szCs w:val="24"/>
        </w:rPr>
      </w:pPr>
    </w:p>
    <w:sectPr w:rsidR="00C7134E" w:rsidRPr="006766F5" w:rsidSect="00DA4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BC"/>
    <w:rsid w:val="00562444"/>
    <w:rsid w:val="006766F5"/>
    <w:rsid w:val="00755B90"/>
    <w:rsid w:val="00894FBC"/>
    <w:rsid w:val="00B67371"/>
    <w:rsid w:val="00C7134E"/>
    <w:rsid w:val="00DA4B7F"/>
    <w:rsid w:val="00E10CDD"/>
    <w:rsid w:val="00E27A50"/>
    <w:rsid w:val="00E57143"/>
    <w:rsid w:val="00ED4D69"/>
    <w:rsid w:val="00F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FF11"/>
  <w15:chartTrackingRefBased/>
  <w15:docId w15:val="{F5DA5A6E-702A-40A0-AE1D-E85B3D89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F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71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tthew.schloegel\Dropbox\PC\Desktop\Desktop\%20mailto:matthew.schloegel@assuredpartners.com" TargetMode="External"/><Relationship Id="rId5" Type="http://schemas.openxmlformats.org/officeDocument/2006/relationships/hyperlink" Target="tel:913-972-4210" TargetMode="External"/><Relationship Id="rId4" Type="http://schemas.openxmlformats.org/officeDocument/2006/relationships/hyperlink" Target="tel:913-359-8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Clock</dc:creator>
  <cp:keywords/>
  <dc:description/>
  <cp:lastModifiedBy>Matthew Schloegel</cp:lastModifiedBy>
  <cp:revision>2</cp:revision>
  <cp:lastPrinted>2018-08-15T14:46:00Z</cp:lastPrinted>
  <dcterms:created xsi:type="dcterms:W3CDTF">2023-10-13T02:40:00Z</dcterms:created>
  <dcterms:modified xsi:type="dcterms:W3CDTF">2023-10-13T02:40:00Z</dcterms:modified>
</cp:coreProperties>
</file>